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AGENDA – Wednesday, March 26,</w:t>
      </w:r>
      <w:r w:rsidDel="00000000" w:rsidR="00000000" w:rsidRPr="00000000">
        <w:rPr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2025 @ 6:30pm </w:t>
      </w:r>
    </w:p>
    <w:p w:rsidR="00000000" w:rsidDel="00000000" w:rsidP="00000000" w:rsidRDefault="00000000" w:rsidRPr="00000000" w14:paraId="00000002">
      <w:pPr>
        <w:spacing w:after="120" w:line="240" w:lineRule="auto"/>
        <w:rPr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Bladensburg Community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Topics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03/26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PRAB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Meeting minutes will be disseminated prior to the meeting. Please review the minutes prior to the meeting.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2e2d2d"/>
          <w:sz w:val="57"/>
          <w:szCs w:val="57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Guest - Mr. Peter A. Shapiro, M-NCPPC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Prince George’s County Planning Board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Introductions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Brief Overview of Planning Board by Mr. Shapiro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Feedback on Site Visits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6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360" w:lineRule="auto"/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fjZfhfLDub27ac0HeoYvEm9xA==">CgMxLjA4AHIhMVE0VTQxZnBnUHJxNkptY0xpLWRsSHZDX2lVYnNjNkEy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2024-12-27T20:04:00Z</dcterms:created>
  <dc:creator>Jocelyn Alexander</dc:creator>
</cp:coreProperties>
</file>